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1E29" w14:textId="77777777" w:rsidR="00A3611F" w:rsidRDefault="00A3611F" w:rsidP="00A3611F">
      <w:pPr>
        <w:rPr>
          <w:rFonts w:ascii="Arial Nova" w:hAnsi="Arial Nova"/>
          <w:sz w:val="24"/>
          <w:szCs w:val="24"/>
        </w:rPr>
      </w:pPr>
    </w:p>
    <w:p w14:paraId="3FFDF152" w14:textId="77777777" w:rsidR="00A3611F" w:rsidRDefault="00A3611F" w:rsidP="00A3611F">
      <w:pPr>
        <w:rPr>
          <w:rFonts w:ascii="Arial Nova" w:hAnsi="Arial Nova"/>
          <w:sz w:val="24"/>
          <w:szCs w:val="24"/>
        </w:rPr>
      </w:pPr>
      <w:r>
        <w:rPr>
          <w:rFonts w:ascii="Arial Nova" w:hAnsi="Arial Nova"/>
          <w:sz w:val="24"/>
          <w:szCs w:val="24"/>
        </w:rPr>
        <w:t xml:space="preserve">Prof. </w:t>
      </w:r>
      <w:proofErr w:type="spellStart"/>
      <w:r>
        <w:rPr>
          <w:rFonts w:ascii="Arial Nova" w:hAnsi="Arial Nova"/>
          <w:sz w:val="24"/>
          <w:szCs w:val="24"/>
        </w:rPr>
        <w:t>Grzegorz</w:t>
      </w:r>
      <w:proofErr w:type="spellEnd"/>
      <w:r>
        <w:rPr>
          <w:rFonts w:ascii="Arial Nova" w:hAnsi="Arial Nova"/>
          <w:sz w:val="24"/>
          <w:szCs w:val="24"/>
        </w:rPr>
        <w:t xml:space="preserve"> Karwasz</w:t>
      </w:r>
    </w:p>
    <w:p w14:paraId="0C1FBC3F" w14:textId="77777777" w:rsidR="00A3611F" w:rsidRDefault="00A3611F" w:rsidP="00A3611F">
      <w:pPr>
        <w:rPr>
          <w:rFonts w:ascii="Arial Nova" w:hAnsi="Arial Nova"/>
          <w:sz w:val="24"/>
          <w:szCs w:val="24"/>
        </w:rPr>
      </w:pPr>
      <w:r>
        <w:rPr>
          <w:rFonts w:ascii="Arial Nova" w:hAnsi="Arial Nova"/>
          <w:sz w:val="24"/>
          <w:szCs w:val="24"/>
        </w:rPr>
        <w:t>Insegnare STEAM in chiave interdisciplinare: suggerimenti per attività in classe</w:t>
      </w:r>
    </w:p>
    <w:p w14:paraId="74B1062C" w14:textId="09EB6F8F" w:rsidR="00A3611F" w:rsidRPr="000F39AE" w:rsidRDefault="00DA77AE" w:rsidP="00A3611F">
      <w:pPr>
        <w:rPr>
          <w:rFonts w:ascii="Arial Nova" w:hAnsi="Arial Nova"/>
          <w:sz w:val="24"/>
          <w:szCs w:val="24"/>
        </w:rPr>
      </w:pPr>
      <w:r>
        <w:rPr>
          <w:rFonts w:ascii="Arial Nova" w:hAnsi="Arial Nova"/>
          <w:b/>
          <w:bCs/>
          <w:sz w:val="24"/>
          <w:szCs w:val="24"/>
        </w:rPr>
        <w:t>9</w:t>
      </w:r>
      <w:r w:rsidR="00A3611F" w:rsidRPr="00A43AC4">
        <w:rPr>
          <w:rFonts w:ascii="Arial Nova" w:hAnsi="Arial Nova"/>
          <w:b/>
          <w:bCs/>
          <w:sz w:val="24"/>
          <w:szCs w:val="24"/>
        </w:rPr>
        <w:t>. Latino – la lingua franca della scienza</w:t>
      </w:r>
      <w:r w:rsidR="00A3611F">
        <w:rPr>
          <w:rFonts w:ascii="Arial Nova" w:hAnsi="Arial Nova"/>
          <w:sz w:val="24"/>
          <w:szCs w:val="24"/>
        </w:rPr>
        <w:t xml:space="preserve"> (scuola superiore)</w:t>
      </w:r>
    </w:p>
    <w:p w14:paraId="4646AF69" w14:textId="77777777" w:rsidR="00A3611F" w:rsidRDefault="00A3611F" w:rsidP="00A3611F">
      <w:pPr>
        <w:rPr>
          <w:rFonts w:ascii="Arial Nova" w:hAnsi="Arial Nova"/>
          <w:sz w:val="24"/>
          <w:szCs w:val="24"/>
        </w:rPr>
      </w:pPr>
      <w:r>
        <w:rPr>
          <w:rFonts w:ascii="Arial Nova" w:hAnsi="Arial Nova"/>
          <w:sz w:val="24"/>
          <w:szCs w:val="24"/>
        </w:rPr>
        <w:t>1) Qui sotto riportiamo tre testi, che distano circa 70 anni l’uno dall’altro. Sei in grado di metterli in ordine cronologico?</w:t>
      </w:r>
    </w:p>
    <w:p w14:paraId="20C41880" w14:textId="77777777" w:rsidR="00A3611F" w:rsidRDefault="00A3611F" w:rsidP="00A3611F">
      <w:pPr>
        <w:rPr>
          <w:rFonts w:ascii="Arial Nova" w:hAnsi="Arial Nova"/>
          <w:sz w:val="24"/>
          <w:szCs w:val="24"/>
        </w:rPr>
      </w:pPr>
      <w:r>
        <w:rPr>
          <w:rFonts w:ascii="Arial Nova" w:hAnsi="Arial Nova"/>
          <w:sz w:val="24"/>
          <w:szCs w:val="24"/>
        </w:rPr>
        <w:t>2) In fondo trovi tre figure. Sei in grado di associare queste figure con le descrizioni?</w:t>
      </w:r>
    </w:p>
    <w:p w14:paraId="1DECB9AC" w14:textId="77777777" w:rsidR="00A3611F" w:rsidRPr="00DE531D" w:rsidRDefault="00A3611F" w:rsidP="00A3611F">
      <w:pPr>
        <w:rPr>
          <w:rFonts w:ascii="Arial Nova" w:hAnsi="Arial Nova"/>
          <w:sz w:val="24"/>
          <w:szCs w:val="24"/>
        </w:rPr>
      </w:pPr>
      <w:r>
        <w:rPr>
          <w:rFonts w:ascii="Arial Nova" w:hAnsi="Arial Nova"/>
          <w:sz w:val="24"/>
          <w:szCs w:val="24"/>
        </w:rPr>
        <w:t xml:space="preserve">3) Riesci a indovinare chi sono gli autori? Segna sulla carta geografica dell’Europa i loro luoghi (e date) di nascita e morte. Hai notato, che abbiamo a che fare con un tipo di </w:t>
      </w:r>
      <w:r>
        <w:rPr>
          <w:rFonts w:ascii="Arial Nova" w:hAnsi="Arial Nova"/>
          <w:i/>
          <w:iCs/>
          <w:sz w:val="24"/>
          <w:szCs w:val="24"/>
        </w:rPr>
        <w:t xml:space="preserve">staffetta </w:t>
      </w:r>
      <w:r>
        <w:rPr>
          <w:rFonts w:ascii="Arial Nova" w:hAnsi="Arial Nova"/>
          <w:sz w:val="24"/>
          <w:szCs w:val="24"/>
        </w:rPr>
        <w:t>scientifica?</w:t>
      </w:r>
      <w:r>
        <w:rPr>
          <w:rFonts w:ascii="Arial Nova" w:hAnsi="Arial Nova"/>
          <w:sz w:val="24"/>
          <w:szCs w:val="24"/>
        </w:rPr>
        <w:tab/>
      </w:r>
    </w:p>
    <w:p w14:paraId="1D9BC6CA" w14:textId="77777777" w:rsidR="00A3611F" w:rsidRDefault="00A3611F" w:rsidP="00A3611F">
      <w:pPr>
        <w:rPr>
          <w:rFonts w:ascii="Arial Nova" w:hAnsi="Arial Nova"/>
          <w:sz w:val="24"/>
          <w:szCs w:val="24"/>
        </w:rPr>
      </w:pPr>
      <w:r>
        <w:rPr>
          <w:rFonts w:ascii="Arial Nova" w:hAnsi="Arial Nova"/>
          <w:sz w:val="24"/>
          <w:szCs w:val="24"/>
        </w:rPr>
        <w:t>4) Basandosi solamente su questi testi riportati, che rivoluzioni filosofiche derivano da essi? Prova di rispondere, anche se non riesci a fare la traduzione completa.</w:t>
      </w:r>
    </w:p>
    <w:p w14:paraId="7C25FBE9" w14:textId="77777777" w:rsidR="00A3611F" w:rsidRPr="00DF7EAC" w:rsidRDefault="00A3611F" w:rsidP="00DF7EAC">
      <w:pPr>
        <w:autoSpaceDE w:val="0"/>
        <w:autoSpaceDN w:val="0"/>
        <w:adjustRightInd w:val="0"/>
        <w:spacing w:after="0" w:line="240" w:lineRule="auto"/>
        <w:jc w:val="both"/>
        <w:rPr>
          <w:rFonts w:ascii="Calibri" w:eastAsia="LiberationSerif" w:hAnsi="Calibri" w:cs="Calibri"/>
          <w:sz w:val="24"/>
          <w:szCs w:val="24"/>
          <w:lang w:val="la-Latn"/>
        </w:rPr>
      </w:pPr>
      <w:r w:rsidRPr="00DF7EAC">
        <w:rPr>
          <w:rFonts w:ascii="Calibri" w:eastAsia="LiberationSerif" w:hAnsi="Calibri" w:cs="Calibri"/>
          <w:sz w:val="24"/>
          <w:szCs w:val="24"/>
          <w:lang w:val="en-US"/>
        </w:rPr>
        <w:t xml:space="preserve">A. </w:t>
      </w:r>
      <w:r w:rsidRPr="00DF7EAC">
        <w:rPr>
          <w:rFonts w:ascii="Calibri" w:eastAsia="LiberationSerif" w:hAnsi="Calibri" w:cs="Calibri"/>
          <w:sz w:val="24"/>
          <w:szCs w:val="24"/>
          <w:lang w:val="la-Latn"/>
        </w:rPr>
        <w:t>Nam potissimum, quo astruere nituntur</w:t>
      </w:r>
      <w:r w:rsidRPr="00DF7EAC">
        <w:rPr>
          <w:rFonts w:ascii="Calibri" w:eastAsia="LiberationSerif" w:hAnsi="Calibri" w:cs="Calibri"/>
          <w:sz w:val="24"/>
          <w:szCs w:val="24"/>
          <w:lang w:val="en-US"/>
        </w:rPr>
        <w:t xml:space="preserve"> </w:t>
      </w:r>
      <w:r w:rsidRPr="00DF7EAC">
        <w:rPr>
          <w:rFonts w:ascii="Calibri" w:eastAsia="LiberationSerif" w:hAnsi="Calibri" w:cs="Calibri"/>
          <w:sz w:val="24"/>
          <w:szCs w:val="24"/>
          <w:lang w:val="la-Latn"/>
        </w:rPr>
        <w:t>mundum esse finitum, est motus. Sive igitur finitus sit</w:t>
      </w:r>
    </w:p>
    <w:p w14:paraId="607576F5" w14:textId="0E9A1EFC" w:rsidR="00A3611F" w:rsidRPr="00DF7EAC" w:rsidRDefault="00A3611F" w:rsidP="00DF7EAC">
      <w:pPr>
        <w:autoSpaceDE w:val="0"/>
        <w:autoSpaceDN w:val="0"/>
        <w:adjustRightInd w:val="0"/>
        <w:spacing w:after="0" w:line="240" w:lineRule="auto"/>
        <w:jc w:val="both"/>
        <w:rPr>
          <w:rFonts w:ascii="Calibri" w:eastAsia="LiberationSerif" w:hAnsi="Calibri" w:cs="Calibri"/>
          <w:sz w:val="24"/>
          <w:szCs w:val="24"/>
          <w:lang w:val="la-Latn"/>
        </w:rPr>
      </w:pPr>
      <w:r w:rsidRPr="00DF7EAC">
        <w:rPr>
          <w:rFonts w:ascii="Calibri" w:eastAsia="LiberationSerif" w:hAnsi="Calibri" w:cs="Calibri"/>
          <w:sz w:val="24"/>
          <w:szCs w:val="24"/>
          <w:lang w:val="la-Latn"/>
        </w:rPr>
        <w:t>mundus, sive infinitus, disputationi physiologorum</w:t>
      </w:r>
      <w:r w:rsidRPr="00DF7EAC">
        <w:rPr>
          <w:rFonts w:ascii="Calibri" w:eastAsia="LiberationSerif" w:hAnsi="Calibri" w:cs="Calibri"/>
          <w:sz w:val="24"/>
          <w:szCs w:val="24"/>
        </w:rPr>
        <w:t xml:space="preserve"> </w:t>
      </w:r>
      <w:r w:rsidRPr="00DF7EAC">
        <w:rPr>
          <w:rFonts w:ascii="Calibri" w:eastAsia="LiberationSerif" w:hAnsi="Calibri" w:cs="Calibri"/>
          <w:sz w:val="24"/>
          <w:szCs w:val="24"/>
          <w:lang w:val="la-Latn"/>
        </w:rPr>
        <w:t>dimittamus: hoc certum habentes, quòd terra verticibus</w:t>
      </w:r>
      <w:r w:rsidR="00DF7EAC">
        <w:rPr>
          <w:rFonts w:ascii="Calibri" w:eastAsia="LiberationSerif" w:hAnsi="Calibri" w:cs="Calibri"/>
          <w:sz w:val="24"/>
          <w:szCs w:val="24"/>
        </w:rPr>
        <w:t xml:space="preserve"> </w:t>
      </w:r>
      <w:r w:rsidRPr="00DF7EAC">
        <w:rPr>
          <w:rFonts w:ascii="Calibri" w:eastAsia="LiberationSerif" w:hAnsi="Calibri" w:cs="Calibri"/>
          <w:sz w:val="24"/>
          <w:szCs w:val="24"/>
          <w:lang w:val="la-Latn"/>
        </w:rPr>
        <w:t>conclusa superficie globosa terminatur. Cur ergo hæsitamus adhuc, mobilitatem illi formæ suæ à natura congruentem concedere, magis quam quod totus labatur mundus, cuius finis ignoratur, scirique nequit, neque fateamur ipsius cotidianae revolutionis in cælo apparentiam esse, et in terra veritatem? Et hæc perinde se habere, ас si diceret Virgilianus</w:t>
      </w:r>
      <w:r w:rsidRPr="00DF7EAC">
        <w:rPr>
          <w:rFonts w:ascii="Calibri" w:eastAsia="LiberationSerif" w:hAnsi="Calibri" w:cs="Calibri"/>
          <w:sz w:val="24"/>
          <w:szCs w:val="24"/>
        </w:rPr>
        <w:t xml:space="preserve"> </w:t>
      </w:r>
      <w:r w:rsidRPr="00DF7EAC">
        <w:rPr>
          <w:rFonts w:ascii="Calibri" w:eastAsia="LiberationSerif" w:hAnsi="Calibri" w:cs="Calibri"/>
          <w:sz w:val="24"/>
          <w:szCs w:val="24"/>
          <w:lang w:val="la-Latn"/>
        </w:rPr>
        <w:t>Æneas: Provehimur portu, terræque urbesque recedunt.</w:t>
      </w:r>
    </w:p>
    <w:p w14:paraId="156186BF" w14:textId="77777777" w:rsidR="00A3611F" w:rsidRPr="00DF7EAC" w:rsidRDefault="00A3611F" w:rsidP="00DF7EAC">
      <w:pPr>
        <w:autoSpaceDE w:val="0"/>
        <w:autoSpaceDN w:val="0"/>
        <w:adjustRightInd w:val="0"/>
        <w:spacing w:after="0" w:line="240" w:lineRule="auto"/>
        <w:jc w:val="both"/>
        <w:rPr>
          <w:rFonts w:ascii="LiberationSerif" w:eastAsia="LiberationSerif" w:hAnsi="Times New Roman" w:cs="LiberationSerif"/>
          <w:sz w:val="24"/>
          <w:szCs w:val="24"/>
          <w:lang w:val="la-Latn"/>
        </w:rPr>
      </w:pPr>
      <w:r w:rsidRPr="00DF7EAC">
        <w:rPr>
          <w:rFonts w:ascii="Calibri" w:eastAsia="LiberationSerif" w:hAnsi="Calibri" w:cs="Calibri"/>
          <w:sz w:val="24"/>
          <w:szCs w:val="24"/>
          <w:lang w:val="la-Latn"/>
        </w:rPr>
        <w:t>Quoniam fluitante sub tranquillitate navigio, cuncta quæ extrinsecus sunt, ad motus illius imaginem moveri cernuntur à navigantibus, ac vicissim se quiescere putant cum omnibus quæ secum sunt. Ita nimirum in motu terræ potest</w:t>
      </w:r>
      <w:r w:rsidRPr="00DF7EAC">
        <w:rPr>
          <w:rFonts w:ascii="Calibri" w:eastAsia="LiberationSerif" w:hAnsi="Calibri" w:cs="Calibri"/>
          <w:sz w:val="24"/>
          <w:szCs w:val="24"/>
        </w:rPr>
        <w:t xml:space="preserve"> </w:t>
      </w:r>
      <w:r w:rsidRPr="00DF7EAC">
        <w:rPr>
          <w:rFonts w:ascii="Calibri" w:eastAsia="LiberationSerif" w:hAnsi="Calibri" w:cs="Calibri"/>
          <w:sz w:val="24"/>
          <w:szCs w:val="24"/>
          <w:lang w:val="la-Latn"/>
        </w:rPr>
        <w:t>contingere, ut totus circuire mundus existimetur.</w:t>
      </w:r>
    </w:p>
    <w:p w14:paraId="597B1CE2" w14:textId="77777777" w:rsidR="00A3611F" w:rsidRPr="00DF7EAC" w:rsidRDefault="00A3611F" w:rsidP="00DF7EAC">
      <w:pPr>
        <w:spacing w:after="0" w:line="240" w:lineRule="auto"/>
        <w:jc w:val="both"/>
        <w:rPr>
          <w:rFonts w:ascii="LiberationSerif" w:eastAsia="LiberationSerif" w:cs="LiberationSerif"/>
          <w:sz w:val="24"/>
          <w:szCs w:val="24"/>
          <w:lang w:val="la-Latn"/>
        </w:rPr>
      </w:pPr>
    </w:p>
    <w:p w14:paraId="630FFF96" w14:textId="77777777" w:rsidR="00A3611F" w:rsidRPr="00DF7EAC" w:rsidRDefault="00A3611F" w:rsidP="00DF7EAC">
      <w:pPr>
        <w:spacing w:after="0" w:line="240" w:lineRule="auto"/>
        <w:jc w:val="both"/>
        <w:rPr>
          <w:rFonts w:ascii="Calibri" w:eastAsia="LiberationSerif" w:hAnsi="Calibri" w:cs="Calibri"/>
          <w:sz w:val="24"/>
          <w:szCs w:val="24"/>
          <w:lang w:val="la-Latn"/>
        </w:rPr>
      </w:pPr>
      <w:r w:rsidRPr="00DF7EAC">
        <w:rPr>
          <w:rFonts w:ascii="Calibri" w:eastAsia="LiberationSerif" w:hAnsi="Calibri" w:cs="Calibri"/>
          <w:sz w:val="24"/>
          <w:szCs w:val="24"/>
        </w:rPr>
        <w:t xml:space="preserve">B. </w:t>
      </w:r>
      <w:r w:rsidRPr="00DF7EAC">
        <w:rPr>
          <w:rFonts w:ascii="Calibri" w:eastAsia="LiberationSerif" w:hAnsi="Calibri" w:cs="Calibri"/>
          <w:sz w:val="24"/>
          <w:szCs w:val="24"/>
          <w:lang w:val="la-Latn"/>
        </w:rPr>
        <w:t xml:space="preserve">Si Globus plumbeus, data cum velocitate secundum lineam horizontalem a montis alicujus vertice vi pulveris tormentarii projectus, pergeret in linea curva ad distantiam duorum milliarium, priusquam in terram decideret: hic dupla cum velocitate quasi duplo longius pergeret, &amp; decupla cum velocitate quasi decuplo </w:t>
      </w:r>
      <w:proofErr w:type="gramStart"/>
      <w:r w:rsidRPr="00DF7EAC">
        <w:rPr>
          <w:rFonts w:ascii="Calibri" w:eastAsia="LiberationSerif" w:hAnsi="Calibri" w:cs="Calibri"/>
          <w:sz w:val="24"/>
          <w:szCs w:val="24"/>
          <w:lang w:val="la-Latn"/>
        </w:rPr>
        <w:t>longius :</w:t>
      </w:r>
      <w:proofErr w:type="gramEnd"/>
      <w:r w:rsidRPr="00DF7EAC">
        <w:rPr>
          <w:rFonts w:ascii="Calibri" w:eastAsia="LiberationSerif" w:hAnsi="Calibri" w:cs="Calibri"/>
          <w:sz w:val="24"/>
          <w:szCs w:val="24"/>
          <w:lang w:val="la-Latn"/>
        </w:rPr>
        <w:t xml:space="preserve"> si modo aeris resistentia tolleretur. Et augendo velocitatem augeri posset pro lubitu distantia in quam projiceretur, &amp; minui curvatur lineæ quam describeret, ita ut tendem caderet ad distantiam graduum decem vel triginta vel nonaginta ; vel  etiam ut terram totam cicuiret priusuam caderet ; vel denique ut  in terram nunquam caderet, sed in cælos abiret &amp; motu abeundi pergeret in infinitum. </w:t>
      </w:r>
    </w:p>
    <w:p w14:paraId="77CD1680" w14:textId="77777777" w:rsidR="00A3611F" w:rsidRPr="00DF7EAC" w:rsidRDefault="00A3611F" w:rsidP="00DF7EAC">
      <w:pPr>
        <w:spacing w:after="0" w:line="240" w:lineRule="auto"/>
        <w:jc w:val="both"/>
        <w:rPr>
          <w:rFonts w:ascii="Calibri" w:eastAsia="LiberationSerif" w:hAnsi="Calibri" w:cs="Calibri"/>
          <w:sz w:val="24"/>
          <w:szCs w:val="24"/>
          <w:lang w:val="la-Latn"/>
        </w:rPr>
      </w:pPr>
    </w:p>
    <w:p w14:paraId="6968034E" w14:textId="77777777" w:rsidR="00DD27F8" w:rsidRDefault="00A3611F" w:rsidP="00DF7EAC">
      <w:pPr>
        <w:spacing w:after="0" w:line="240" w:lineRule="auto"/>
        <w:jc w:val="both"/>
        <w:rPr>
          <w:color w:val="000000"/>
          <w:sz w:val="24"/>
          <w:szCs w:val="24"/>
          <w:lang w:val="la-Latn"/>
        </w:rPr>
      </w:pPr>
      <w:r w:rsidRPr="00DF7EAC">
        <w:rPr>
          <w:rFonts w:eastAsia="LiberationSerif" w:cs="LiberationSerif"/>
          <w:sz w:val="24"/>
          <w:szCs w:val="24"/>
          <w:lang w:val="la-Latn"/>
        </w:rPr>
        <w:t xml:space="preserve">C. </w:t>
      </w:r>
      <w:r w:rsidRPr="00DF7EAC">
        <w:rPr>
          <w:color w:val="000000"/>
          <w:sz w:val="24"/>
          <w:szCs w:val="24"/>
          <w:lang w:val="la-Latn"/>
        </w:rPr>
        <w:t>Hêc lunaris superficies, qua maculis, instar pavonis caudê cêruleis oculis, distinguitur, vitreis illis vasculis redditur consimilis, quê adhuc calentia in frigidam immissa, perfractam undosamque superficiem acquirunt, ex quo a vulgo glaciales Gyathi nuncupantur. Verum magnê eiusdem Lunê maculê consimili modo interruptê atque lacunis et eminentiis confertê minime cernuntur, sed magis êquabiles et uniformes; solummodo enim clarioribus nonnullis areolis hac illac scatent; adeo ut, si quis veterem Pythagoreorum sententiam exsuscitare velit, Lunam scilicet esse quasi Tellurem alteram, eius pars lucidior terrenam superficiem, obscurior vero aqueam, magis congrue reprêsentet: mibi autem dubium fuit nunquam, terrestris globi a longe conspecti atque a radiis solaribus perfusi, terream superficiem clariorem, obscuriorem vero aqueam, sese in conspectum daturam.</w:t>
      </w:r>
    </w:p>
    <w:p w14:paraId="64438B86" w14:textId="77777777" w:rsidR="00DD27F8" w:rsidRDefault="00DD27F8" w:rsidP="00DF7EAC">
      <w:pPr>
        <w:spacing w:after="0" w:line="240" w:lineRule="auto"/>
        <w:jc w:val="both"/>
        <w:rPr>
          <w:color w:val="000000"/>
          <w:sz w:val="24"/>
          <w:szCs w:val="24"/>
          <w:lang w:val="la-Latn"/>
        </w:rPr>
      </w:pPr>
    </w:p>
    <w:p w14:paraId="11E513C1" w14:textId="7D1C2547" w:rsidR="00A3611F" w:rsidRPr="00E46A41" w:rsidRDefault="00DD27F8" w:rsidP="00E46A41">
      <w:pPr>
        <w:rPr>
          <w:rFonts w:ascii="Arial Nova" w:hAnsi="Arial Nova"/>
          <w:sz w:val="24"/>
          <w:szCs w:val="24"/>
        </w:rPr>
      </w:pPr>
      <w:r>
        <w:rPr>
          <w:rFonts w:ascii="Arial Nova" w:hAnsi="Arial Nova"/>
          <w:sz w:val="24"/>
          <w:szCs w:val="24"/>
        </w:rPr>
        <w:lastRenderedPageBreak/>
        <w:t xml:space="preserve">1. Questo disegno è un concetto (in tedesco </w:t>
      </w:r>
      <w:proofErr w:type="spellStart"/>
      <w:r>
        <w:rPr>
          <w:rFonts w:ascii="Arial Nova" w:hAnsi="Arial Nova"/>
          <w:i/>
          <w:iCs/>
          <w:sz w:val="24"/>
          <w:szCs w:val="24"/>
        </w:rPr>
        <w:t>Gedanken</w:t>
      </w:r>
      <w:proofErr w:type="spellEnd"/>
      <w:r>
        <w:rPr>
          <w:rFonts w:ascii="Arial Nova" w:hAnsi="Arial Nova"/>
          <w:i/>
          <w:iCs/>
          <w:sz w:val="24"/>
          <w:szCs w:val="24"/>
        </w:rPr>
        <w:t xml:space="preserve"> Experiment</w:t>
      </w:r>
      <w:r>
        <w:rPr>
          <w:rFonts w:ascii="Arial Nova" w:hAnsi="Arial Nova"/>
          <w:sz w:val="24"/>
          <w:szCs w:val="24"/>
        </w:rPr>
        <w:t>) come lanciare un satellite artificiale della Terra: spararlo da un cannone, con la velocità tale, con non cada più per terra [notare il gioco di parole: Terra e terra]</w:t>
      </w:r>
      <w:r w:rsidR="00A3611F" w:rsidRPr="00DF7EAC">
        <w:rPr>
          <w:color w:val="000000"/>
          <w:sz w:val="24"/>
          <w:szCs w:val="24"/>
          <w:lang w:val="la-Latn"/>
        </w:rPr>
        <w:t xml:space="preserve"> </w:t>
      </w:r>
    </w:p>
    <w:p w14:paraId="2BF730D7" w14:textId="0102781F" w:rsidR="00A3611F" w:rsidRDefault="00A3611F" w:rsidP="00A3611F">
      <w:pPr>
        <w:pStyle w:val="Paragrafoelenco"/>
      </w:pPr>
      <w:r>
        <w:rPr>
          <w:noProof/>
        </w:rPr>
        <w:drawing>
          <wp:inline distT="0" distB="0" distL="0" distR="0" wp14:anchorId="0DC28990" wp14:editId="284C0060">
            <wp:extent cx="2243328" cy="1682613"/>
            <wp:effectExtent l="0" t="0" r="5080" b="0"/>
            <wp:docPr id="7" name="Immagine 7" descr="Image may contain Sphere Text and Shooting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may contain Sphere Text and Shooting Ran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3353" cy="1697632"/>
                    </a:xfrm>
                    <a:prstGeom prst="rect">
                      <a:avLst/>
                    </a:prstGeom>
                    <a:noFill/>
                    <a:ln>
                      <a:noFill/>
                    </a:ln>
                  </pic:spPr>
                </pic:pic>
              </a:graphicData>
            </a:graphic>
          </wp:inline>
        </w:drawing>
      </w:r>
    </w:p>
    <w:p w14:paraId="27C6A314" w14:textId="77777777" w:rsidR="00E46A41" w:rsidRDefault="00E46A41" w:rsidP="00EE582E">
      <w:pPr>
        <w:jc w:val="both"/>
        <w:rPr>
          <w:rFonts w:ascii="Arial Nova" w:hAnsi="Arial Nova"/>
          <w:sz w:val="24"/>
          <w:szCs w:val="24"/>
        </w:rPr>
      </w:pPr>
      <w:r>
        <w:rPr>
          <w:rFonts w:ascii="Arial Nova" w:hAnsi="Arial Nova"/>
          <w:sz w:val="24"/>
          <w:szCs w:val="24"/>
          <w:lang w:val="pl-PL"/>
        </w:rPr>
        <w:t>2. „G</w:t>
      </w:r>
      <w:r w:rsidRPr="003F790B">
        <w:rPr>
          <w:rFonts w:ascii="Arial Nova" w:hAnsi="Arial Nova"/>
          <w:sz w:val="24"/>
          <w:szCs w:val="24"/>
          <w:lang w:val="pl-PL"/>
        </w:rPr>
        <w:t>randezza del cielo, i cui limiti non sappiamo,</w:t>
      </w:r>
      <w:r>
        <w:rPr>
          <w:rFonts w:ascii="Arial Nova" w:hAnsi="Arial Nova"/>
          <w:sz w:val="24"/>
          <w:szCs w:val="24"/>
          <w:lang w:val="pl-PL"/>
        </w:rPr>
        <w:t xml:space="preserve"> </w:t>
      </w:r>
      <w:r w:rsidRPr="003F790B">
        <w:rPr>
          <w:rFonts w:ascii="Arial Nova" w:hAnsi="Arial Nova"/>
          <w:sz w:val="24"/>
          <w:szCs w:val="24"/>
          <w:lang w:val="pl-PL"/>
        </w:rPr>
        <w:t>e probabilmente saper neanche</w:t>
      </w:r>
      <w:r w:rsidRPr="003F790B">
        <w:rPr>
          <w:rFonts w:ascii="Arial Nova" w:hAnsi="Arial Nova"/>
          <w:i/>
          <w:iCs/>
          <w:sz w:val="24"/>
          <w:szCs w:val="24"/>
          <w:lang w:val="pl-PL"/>
        </w:rPr>
        <w:t xml:space="preserve"> non possiamo</w:t>
      </w:r>
      <w:r>
        <w:rPr>
          <w:rFonts w:ascii="Arial Nova" w:hAnsi="Arial Nova"/>
          <w:sz w:val="24"/>
          <w:szCs w:val="24"/>
          <w:lang w:val="pl-PL"/>
        </w:rPr>
        <w:t>”</w:t>
      </w:r>
      <w:r>
        <w:rPr>
          <w:rFonts w:ascii="Arial Nova" w:hAnsi="Arial Nova"/>
          <w:sz w:val="24"/>
          <w:szCs w:val="24"/>
        </w:rPr>
        <w:t xml:space="preserve">. Il disegno, concepito attorno al 1870 dal Flammarion, aveva come intenzione deridere il concetto medioevale del mondo limitato, ed invece illustra bellissimo le conseguenze della teoria di relatività di Einstein, secondo la quale la velocità della luce, sempre la stessa (vuol dire - insuperabile) per tutti gli osservatori, pone limiti sulle dimensioni dell’universo conoscibile per noi. </w:t>
      </w:r>
    </w:p>
    <w:p w14:paraId="7EDFEF7B" w14:textId="709F23B9" w:rsidR="00A3611F" w:rsidRDefault="00A3611F" w:rsidP="00A3611F">
      <w:r>
        <w:rPr>
          <w:noProof/>
        </w:rPr>
        <w:drawing>
          <wp:inline distT="0" distB="0" distL="0" distR="0" wp14:anchorId="3286E1FC" wp14:editId="7B985331">
            <wp:extent cx="2393989" cy="2002971"/>
            <wp:effectExtent l="0" t="0" r="6350" b="0"/>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7351" cy="2005784"/>
                    </a:xfrm>
                    <a:prstGeom prst="rect">
                      <a:avLst/>
                    </a:prstGeom>
                    <a:noFill/>
                    <a:ln>
                      <a:noFill/>
                    </a:ln>
                  </pic:spPr>
                </pic:pic>
              </a:graphicData>
            </a:graphic>
          </wp:inline>
        </w:drawing>
      </w:r>
    </w:p>
    <w:p w14:paraId="06EE6E86" w14:textId="4D1D0EC0" w:rsidR="00EE582E" w:rsidRDefault="00EE582E" w:rsidP="00EE582E">
      <w:pPr>
        <w:jc w:val="both"/>
        <w:rPr>
          <w:rFonts w:ascii="Arial Nova" w:hAnsi="Arial Nova"/>
          <w:sz w:val="24"/>
          <w:szCs w:val="24"/>
        </w:rPr>
      </w:pPr>
      <w:r>
        <w:rPr>
          <w:rFonts w:ascii="Arial Nova" w:hAnsi="Arial Nova"/>
          <w:sz w:val="24"/>
          <w:szCs w:val="24"/>
        </w:rPr>
        <w:t>3. L’</w:t>
      </w:r>
      <w:r w:rsidR="006C5693">
        <w:rPr>
          <w:rFonts w:ascii="Arial Nova" w:hAnsi="Arial Nova"/>
          <w:sz w:val="24"/>
          <w:szCs w:val="24"/>
        </w:rPr>
        <w:t>a</w:t>
      </w:r>
      <w:r>
        <w:rPr>
          <w:rFonts w:ascii="Arial Nova" w:hAnsi="Arial Nova"/>
          <w:sz w:val="24"/>
          <w:szCs w:val="24"/>
        </w:rPr>
        <w:t>utore di questi disegni fu criticato dagli ‘allievi’ di Aristotele, secondo i quali la Luna non poteva essere irregolare, cioè difettata. Anche se esistono delle ‘rughe’ sulla superficie lunare, una materia perfetta, invisibile renda la sfera della Luna perfetta - dicevano. L’Autore rispondeva: allora questa materia invisibile, anche essa, può formare delle montagne, ancora dieci volte più alte che queste visibili [non abbiamo la citazione esatta]</w:t>
      </w:r>
    </w:p>
    <w:p w14:paraId="5ECF5A44" w14:textId="77777777" w:rsidR="00A3611F" w:rsidRDefault="00A3611F" w:rsidP="00A3611F">
      <w:pPr>
        <w:rPr>
          <w:rFonts w:ascii="Arial Nova" w:hAnsi="Arial Nova"/>
          <w:sz w:val="24"/>
          <w:szCs w:val="24"/>
        </w:rPr>
      </w:pPr>
      <w:r>
        <w:rPr>
          <w:noProof/>
        </w:rPr>
        <w:drawing>
          <wp:inline distT="0" distB="0" distL="0" distR="0" wp14:anchorId="1DBC660E" wp14:editId="5FA3E640">
            <wp:extent cx="1466850" cy="1408176"/>
            <wp:effectExtent l="0" t="0" r="0" b="1905"/>
            <wp:docPr id="23" name="Immagine 23"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a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75270" cy="1416259"/>
                    </a:xfrm>
                    <a:prstGeom prst="rect">
                      <a:avLst/>
                    </a:prstGeom>
                    <a:noFill/>
                    <a:ln>
                      <a:noFill/>
                    </a:ln>
                  </pic:spPr>
                </pic:pic>
              </a:graphicData>
            </a:graphic>
          </wp:inline>
        </w:drawing>
      </w:r>
      <w:r>
        <w:rPr>
          <w:noProof/>
        </w:rPr>
        <w:drawing>
          <wp:inline distT="0" distB="0" distL="0" distR="0" wp14:anchorId="2DC503D0" wp14:editId="7A2FFEE0">
            <wp:extent cx="1400175" cy="1400175"/>
            <wp:effectExtent l="0" t="0" r="9525" b="9525"/>
            <wp:docPr id="24" name="Immagine 24" descr="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a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B8F134D" w14:textId="77777777" w:rsidR="00EE582E" w:rsidRPr="00E2494E" w:rsidRDefault="00EE582E" w:rsidP="00EE582E">
      <w:pPr>
        <w:spacing w:after="0" w:line="240" w:lineRule="auto"/>
        <w:rPr>
          <w:sz w:val="20"/>
          <w:szCs w:val="20"/>
          <w:lang w:val="pl-PL"/>
        </w:rPr>
      </w:pPr>
      <w:hyperlink r:id="rId10" w:history="1">
        <w:r w:rsidRPr="00E2494E">
          <w:rPr>
            <w:rStyle w:val="Collegamentoipertestuale"/>
            <w:sz w:val="20"/>
            <w:szCs w:val="20"/>
            <w:lang w:val="pl-PL"/>
          </w:rPr>
          <w:t>https://www.thelatinlibrary.com/galileoalileo.sid.html</w:t>
        </w:r>
      </w:hyperlink>
    </w:p>
    <w:p w14:paraId="43FFB4C2" w14:textId="77777777" w:rsidR="00EE582E" w:rsidRPr="00E2494E" w:rsidRDefault="00EE582E" w:rsidP="00EE582E">
      <w:pPr>
        <w:spacing w:after="0" w:line="240" w:lineRule="auto"/>
        <w:rPr>
          <w:rFonts w:ascii="Calibri" w:eastAsia="LiberationSerif" w:hAnsi="Calibri" w:cs="Calibri"/>
          <w:sz w:val="20"/>
          <w:szCs w:val="20"/>
          <w:lang w:val="pl-PL"/>
        </w:rPr>
      </w:pPr>
      <w:hyperlink r:id="rId11" w:history="1">
        <w:r w:rsidRPr="00905DC3">
          <w:rPr>
            <w:rStyle w:val="Collegamentoipertestuale"/>
            <w:rFonts w:ascii="Calibri" w:eastAsia="LiberationSerif" w:hAnsi="Calibri" w:cs="Calibri"/>
            <w:sz w:val="20"/>
            <w:szCs w:val="20"/>
            <w:lang w:val="la-Latn"/>
          </w:rPr>
          <w:t>https://cudl.lib.cam.ac.uk/view/PR-ADV-B-00039-00002/79</w:t>
        </w:r>
      </w:hyperlink>
      <w:r w:rsidRPr="00E2494E">
        <w:rPr>
          <w:rFonts w:ascii="Calibri" w:eastAsia="LiberationSerif" w:hAnsi="Calibri" w:cs="Calibri"/>
          <w:sz w:val="20"/>
          <w:szCs w:val="20"/>
          <w:lang w:val="pl-PL"/>
        </w:rPr>
        <w:t xml:space="preserve"> </w:t>
      </w:r>
    </w:p>
    <w:p w14:paraId="4968A59A" w14:textId="57E43450" w:rsidR="00DD27F8" w:rsidRDefault="00EE582E" w:rsidP="00EE582E">
      <w:pPr>
        <w:spacing w:after="0" w:line="240" w:lineRule="auto"/>
      </w:pPr>
      <w:hyperlink r:id="rId12" w:history="1">
        <w:r w:rsidRPr="003133AF">
          <w:rPr>
            <w:rStyle w:val="Collegamentoipertestuale"/>
            <w:sz w:val="20"/>
            <w:szCs w:val="20"/>
            <w:lang w:val="pl-PL" w:eastAsia="ja-JP"/>
          </w:rPr>
          <w:t>https://media.wired.com/photos/5c006b4a9b6b642d10d8951a/master/w_1600,c_limit/newtondiagram.jpg</w:t>
        </w:r>
      </w:hyperlink>
    </w:p>
    <w:sectPr w:rsidR="00DD2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1F"/>
    <w:rsid w:val="00107A49"/>
    <w:rsid w:val="006C5693"/>
    <w:rsid w:val="007452FC"/>
    <w:rsid w:val="00A3611F"/>
    <w:rsid w:val="00C17D6B"/>
    <w:rsid w:val="00DA77AE"/>
    <w:rsid w:val="00DD27F8"/>
    <w:rsid w:val="00DF7EAC"/>
    <w:rsid w:val="00E46A41"/>
    <w:rsid w:val="00EE5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A359"/>
  <w15:chartTrackingRefBased/>
  <w15:docId w15:val="{8866802F-38BA-40C5-B9AD-6FCFE6F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1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611F"/>
    <w:pPr>
      <w:ind w:left="720"/>
      <w:contextualSpacing/>
    </w:pPr>
  </w:style>
  <w:style w:type="character" w:styleId="Collegamentoipertestuale">
    <w:name w:val="Hyperlink"/>
    <w:basedOn w:val="Carpredefinitoparagrafo"/>
    <w:uiPriority w:val="99"/>
    <w:unhideWhenUsed/>
    <w:rsid w:val="00A3611F"/>
    <w:rPr>
      <w:color w:val="0563C1" w:themeColor="hyperlink"/>
      <w:u w:val="single"/>
    </w:rPr>
  </w:style>
  <w:style w:type="character" w:styleId="Menzionenonrisolta">
    <w:name w:val="Unresolved Mention"/>
    <w:basedOn w:val="Carpredefinitoparagrafo"/>
    <w:uiPriority w:val="99"/>
    <w:semiHidden/>
    <w:unhideWhenUsed/>
    <w:rsid w:val="00EE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thelatinlibrary.com/galileo/figura03.gif" TargetMode="External"/><Relationship Id="rId12" Type="http://schemas.openxmlformats.org/officeDocument/2006/relationships/hyperlink" Target="https://media.wired.com/photos/5c006b4a9b6b642d10d8951a/master/w_1600,c_limit/newtondiagram.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cudl.lib.cam.ac.uk/view/PR-ADV-B-00039-00002/79" TargetMode="External"/><Relationship Id="rId5" Type="http://schemas.openxmlformats.org/officeDocument/2006/relationships/image" Target="media/image2.jpeg"/><Relationship Id="rId10" Type="http://schemas.openxmlformats.org/officeDocument/2006/relationships/hyperlink" Target="https://www.thelatinlibrary.com/galileoalileo.sid.html" TargetMode="External"/><Relationship Id="rId4" Type="http://schemas.openxmlformats.org/officeDocument/2006/relationships/image" Target="media/image1.jpeg"/><Relationship Id="rId9" Type="http://schemas.openxmlformats.org/officeDocument/2006/relationships/image" Target="https://www.thelatinlibrary.com/galileo/figura04.gi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Karwasz</dc:creator>
  <cp:keywords/>
  <dc:description/>
  <cp:lastModifiedBy>Maria Karwasz</cp:lastModifiedBy>
  <cp:revision>3</cp:revision>
  <dcterms:created xsi:type="dcterms:W3CDTF">2022-04-18T19:31:00Z</dcterms:created>
  <dcterms:modified xsi:type="dcterms:W3CDTF">2022-04-18T19:31:00Z</dcterms:modified>
</cp:coreProperties>
</file>